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01" w:rsidRDefault="00E0756D">
      <w:bookmarkStart w:id="0" w:name="_GoBack"/>
      <w:bookmarkEnd w:id="0"/>
      <w:r>
        <w:t>3. 02.16 Гр. 31 Л. Цветоводство и декоративное древоводство.</w:t>
      </w:r>
    </w:p>
    <w:p w:rsidR="00E0756D" w:rsidRDefault="00E0756D">
      <w:r>
        <w:t>Преп. Боброва Л.И. Урок № 47</w:t>
      </w:r>
    </w:p>
    <w:p w:rsidR="00E0756D" w:rsidRDefault="00E0756D">
      <w:r>
        <w:t>Тема: Цветочные культуры открытого грунта. Общая характеристика однолетников.</w:t>
      </w:r>
    </w:p>
    <w:p w:rsidR="00E0756D" w:rsidRDefault="001C5717">
      <w:r>
        <w:t>Домашнее задание:</w:t>
      </w:r>
    </w:p>
    <w:p w:rsidR="001C5717" w:rsidRDefault="001C5717">
      <w:r>
        <w:t>1.Группы однолетних цветочных растений.</w:t>
      </w:r>
    </w:p>
    <w:p w:rsidR="001C5717" w:rsidRDefault="001C5717">
      <w:r>
        <w:t>2. Биологические особенности однолетних цветочных растений.</w:t>
      </w:r>
    </w:p>
    <w:p w:rsidR="001C5717" w:rsidRDefault="001C5717">
      <w:r>
        <w:t xml:space="preserve">Литература. </w:t>
      </w:r>
      <w:proofErr w:type="spellStart"/>
      <w:r>
        <w:t>Т.А.Соколова</w:t>
      </w:r>
      <w:proofErr w:type="spellEnd"/>
      <w:r>
        <w:t xml:space="preserve">, </w:t>
      </w:r>
      <w:proofErr w:type="spellStart"/>
      <w:r>
        <w:t>И.Ю.Бочкова</w:t>
      </w:r>
      <w:proofErr w:type="spellEnd"/>
      <w:r>
        <w:t>. Декоративное растениеводство. Цветоводство. Стр. 93-94.</w:t>
      </w:r>
    </w:p>
    <w:sectPr w:rsidR="001C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6D"/>
    <w:rsid w:val="001C5717"/>
    <w:rsid w:val="008F0D63"/>
    <w:rsid w:val="009B5301"/>
    <w:rsid w:val="00E0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DBCD3-C495-4DCF-B328-DE990183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2016-02-02T10:20:00Z</dcterms:created>
  <dcterms:modified xsi:type="dcterms:W3CDTF">2016-02-02T10:20:00Z</dcterms:modified>
</cp:coreProperties>
</file>